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4208"/>
      </w:tblGrid>
      <w:tr w:rsidR="0045566F" w14:paraId="30158DBE" w14:textId="77777777" w:rsidTr="006838BD">
        <w:trPr>
          <w:trHeight w:val="1629"/>
        </w:trPr>
        <w:tc>
          <w:tcPr>
            <w:tcW w:w="10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3C07" w14:textId="77777777" w:rsidR="0045566F" w:rsidRDefault="0045566F" w:rsidP="006838BD">
            <w:pPr>
              <w:pStyle w:val="TableParagraph"/>
              <w:kinsoku w:val="0"/>
              <w:overflowPunct w:val="0"/>
              <w:spacing w:before="12" w:line="240" w:lineRule="auto"/>
              <w:ind w:left="226"/>
              <w:rPr>
                <w:spacing w:val="-2"/>
                <w:sz w:val="22"/>
                <w:szCs w:val="22"/>
              </w:rPr>
            </w:pPr>
            <w:r>
              <w:rPr>
                <w:noProof/>
                <w:position w:val="-27"/>
              </w:rPr>
              <w:drawing>
                <wp:inline distT="0" distB="0" distL="0" distR="0" wp14:anchorId="59728849" wp14:editId="42BFCE53">
                  <wp:extent cx="1543050" cy="962025"/>
                  <wp:effectExtent l="0" t="0" r="0" b="0"/>
                  <wp:docPr id="1" name="Picture 1" descr="A logo for the University of Cincinnati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the University of Cincinnati.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UNIVERSITY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CINCINNATI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COLLEGE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MEDICINE</w:t>
            </w:r>
          </w:p>
        </w:tc>
      </w:tr>
      <w:tr w:rsidR="0045566F" w14:paraId="20D4FB58" w14:textId="77777777" w:rsidTr="006838BD">
        <w:trPr>
          <w:trHeight w:val="676"/>
        </w:trPr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8A84" w14:textId="21ED9D14" w:rsidR="0045566F" w:rsidRDefault="0045566F" w:rsidP="006838BD">
            <w:pPr>
              <w:pStyle w:val="TableParagraph"/>
              <w:tabs>
                <w:tab w:val="left" w:pos="2011"/>
              </w:tabs>
              <w:kinsoku w:val="0"/>
              <w:overflowPunct w:val="0"/>
              <w:spacing w:line="246" w:lineRule="exact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POLICY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TITLE:</w:t>
            </w:r>
            <w:r w:rsidR="000C2401">
              <w:rPr>
                <w:sz w:val="22"/>
                <w:szCs w:val="22"/>
              </w:rPr>
              <w:t xml:space="preserve"> </w:t>
            </w:r>
            <w:r w:rsidR="009548F9" w:rsidRPr="009548F9">
              <w:rPr>
                <w:i/>
                <w:iCs/>
                <w:sz w:val="22"/>
                <w:szCs w:val="22"/>
              </w:rPr>
              <w:t xml:space="preserve">Phase 2 </w:t>
            </w:r>
            <w:r w:rsidR="009E01D4">
              <w:rPr>
                <w:i/>
                <w:iCs/>
                <w:sz w:val="22"/>
                <w:szCs w:val="22"/>
              </w:rPr>
              <w:t>C</w:t>
            </w:r>
            <w:r w:rsidR="002B2BF8">
              <w:rPr>
                <w:i/>
                <w:iCs/>
                <w:sz w:val="22"/>
                <w:szCs w:val="22"/>
              </w:rPr>
              <w:t>ategorical</w:t>
            </w:r>
            <w:r w:rsidR="00171A8F">
              <w:rPr>
                <w:i/>
                <w:iCs/>
                <w:sz w:val="22"/>
                <w:szCs w:val="22"/>
              </w:rPr>
              <w:t xml:space="preserve"> </w:t>
            </w:r>
            <w:r w:rsidR="00ED196A">
              <w:rPr>
                <w:i/>
                <w:iCs/>
                <w:sz w:val="22"/>
                <w:szCs w:val="22"/>
              </w:rPr>
              <w:t>Classification/</w:t>
            </w:r>
            <w:r w:rsidR="00171A8F">
              <w:rPr>
                <w:i/>
                <w:iCs/>
                <w:sz w:val="22"/>
                <w:szCs w:val="22"/>
              </w:rPr>
              <w:t>Ranking</w:t>
            </w:r>
            <w:r w:rsidRPr="009548F9">
              <w:rPr>
                <w:i/>
                <w:iCs/>
                <w:spacing w:val="-7"/>
                <w:sz w:val="22"/>
                <w:szCs w:val="22"/>
              </w:rPr>
              <w:t xml:space="preserve"> </w:t>
            </w:r>
            <w:r w:rsidRPr="009548F9">
              <w:rPr>
                <w:i/>
                <w:iCs/>
                <w:sz w:val="22"/>
                <w:szCs w:val="22"/>
              </w:rPr>
              <w:t>System</w:t>
            </w:r>
          </w:p>
        </w:tc>
        <w:tc>
          <w:tcPr>
            <w:tcW w:w="4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B148" w14:textId="224C20A0" w:rsidR="009548F9" w:rsidRPr="002F62C7" w:rsidRDefault="0045566F" w:rsidP="00DE0475">
            <w:pPr>
              <w:pStyle w:val="TableParagraph"/>
              <w:kinsoku w:val="0"/>
              <w:overflowPunct w:val="0"/>
              <w:spacing w:line="246" w:lineRule="exact"/>
              <w:ind w:left="11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DATE: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 w:rsidR="00145497" w:rsidRPr="002F62C7">
              <w:rPr>
                <w:i/>
                <w:iCs/>
                <w:spacing w:val="35"/>
                <w:sz w:val="22"/>
                <w:szCs w:val="22"/>
              </w:rPr>
              <w:t xml:space="preserve">December </w:t>
            </w:r>
            <w:r w:rsidR="0037116A" w:rsidRPr="002F62C7">
              <w:rPr>
                <w:i/>
                <w:iCs/>
                <w:spacing w:val="35"/>
                <w:sz w:val="22"/>
                <w:szCs w:val="22"/>
              </w:rPr>
              <w:t>4, 2025</w:t>
            </w:r>
          </w:p>
          <w:p w14:paraId="0BF7145D" w14:textId="1C46FC84" w:rsidR="00577153" w:rsidRDefault="00577153" w:rsidP="006838BD">
            <w:pPr>
              <w:pStyle w:val="TableParagraph"/>
              <w:kinsoku w:val="0"/>
              <w:overflowPunct w:val="0"/>
              <w:spacing w:line="246" w:lineRule="exact"/>
              <w:ind w:left="112"/>
              <w:rPr>
                <w:i/>
                <w:iCs/>
                <w:sz w:val="22"/>
                <w:szCs w:val="22"/>
              </w:rPr>
            </w:pPr>
          </w:p>
        </w:tc>
      </w:tr>
      <w:tr w:rsidR="0045566F" w14:paraId="031F0E41" w14:textId="77777777" w:rsidTr="007902A5">
        <w:trPr>
          <w:trHeight w:val="676"/>
        </w:trPr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245B" w14:textId="40BF5836" w:rsidR="0045566F" w:rsidRDefault="0045566F" w:rsidP="00525C23">
            <w:pPr>
              <w:pStyle w:val="TableParagraph"/>
              <w:kinsoku w:val="0"/>
              <w:overflowPunct w:val="0"/>
              <w:spacing w:line="242" w:lineRule="exact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DEPARTMENT: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="00522FBD">
              <w:rPr>
                <w:i/>
                <w:iCs/>
                <w:sz w:val="22"/>
                <w:szCs w:val="22"/>
              </w:rPr>
              <w:t>Office</w:t>
            </w:r>
            <w:r w:rsidR="00522FBD">
              <w:rPr>
                <w:i/>
                <w:iCs/>
                <w:spacing w:val="-11"/>
                <w:sz w:val="22"/>
                <w:szCs w:val="22"/>
              </w:rPr>
              <w:t xml:space="preserve"> </w:t>
            </w:r>
            <w:r w:rsidR="00522FBD">
              <w:rPr>
                <w:i/>
                <w:iCs/>
                <w:sz w:val="22"/>
                <w:szCs w:val="22"/>
              </w:rPr>
              <w:t>of</w:t>
            </w:r>
            <w:r w:rsidR="00522FBD">
              <w:rPr>
                <w:i/>
                <w:iCs/>
                <w:spacing w:val="-11"/>
                <w:sz w:val="22"/>
                <w:szCs w:val="22"/>
              </w:rPr>
              <w:t xml:space="preserve"> </w:t>
            </w:r>
            <w:r w:rsidR="00522FBD">
              <w:rPr>
                <w:i/>
                <w:iCs/>
                <w:sz w:val="22"/>
                <w:szCs w:val="22"/>
              </w:rPr>
              <w:t>Curriculum Management and Integration</w:t>
            </w:r>
          </w:p>
        </w:tc>
        <w:tc>
          <w:tcPr>
            <w:tcW w:w="4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722E" w14:textId="50C89CCF" w:rsidR="0045566F" w:rsidRDefault="0045566F" w:rsidP="007902A5">
            <w:pPr>
              <w:pStyle w:val="TableParagraph"/>
              <w:kinsoku w:val="0"/>
              <w:overflowPunct w:val="0"/>
              <w:spacing w:line="242" w:lineRule="exact"/>
              <w:ind w:left="11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APPLIES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TO:</w:t>
            </w:r>
            <w:r w:rsidR="00522FBD"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Class of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202</w:t>
            </w:r>
            <w:r w:rsidR="009548F9">
              <w:rPr>
                <w:i/>
                <w:iCs/>
                <w:sz w:val="22"/>
                <w:szCs w:val="22"/>
              </w:rPr>
              <w:t>7</w:t>
            </w:r>
          </w:p>
        </w:tc>
      </w:tr>
    </w:tbl>
    <w:p w14:paraId="7D6022A3" w14:textId="77777777" w:rsidR="00561BC6" w:rsidRDefault="00561BC6"/>
    <w:p w14:paraId="64A55C27" w14:textId="6D235ECA" w:rsidR="007D441E" w:rsidRPr="009E5723" w:rsidRDefault="00097A11" w:rsidP="0088461D">
      <w:pPr>
        <w:ind w:right="-720"/>
        <w:rPr>
          <w:rFonts w:ascii="Times New Roman" w:hAnsi="Times New Roman" w:cs="Times New Roman"/>
          <w:color w:val="221F1F"/>
          <w:sz w:val="24"/>
          <w:szCs w:val="24"/>
        </w:rPr>
      </w:pPr>
      <w:r w:rsidRPr="009E5723">
        <w:rPr>
          <w:rFonts w:ascii="Times New Roman" w:hAnsi="Times New Roman" w:cs="Times New Roman"/>
          <w:sz w:val="24"/>
          <w:szCs w:val="24"/>
        </w:rPr>
        <w:t xml:space="preserve">The College of Medicine </w:t>
      </w:r>
      <w:r w:rsidRPr="000C1E59">
        <w:rPr>
          <w:rFonts w:ascii="Times New Roman" w:hAnsi="Times New Roman" w:cs="Times New Roman"/>
          <w:sz w:val="24"/>
          <w:szCs w:val="24"/>
        </w:rPr>
        <w:t xml:space="preserve">(COM) </w:t>
      </w:r>
      <w:r w:rsidR="00D920EF" w:rsidRPr="000C1E59">
        <w:rPr>
          <w:rFonts w:ascii="Times New Roman" w:hAnsi="Times New Roman" w:cs="Times New Roman"/>
          <w:sz w:val="24"/>
          <w:szCs w:val="24"/>
        </w:rPr>
        <w:t xml:space="preserve">uses a </w:t>
      </w:r>
      <w:r w:rsidR="000B46CF" w:rsidRPr="000C1E59">
        <w:rPr>
          <w:rFonts w:ascii="Times New Roman" w:hAnsi="Times New Roman" w:cs="Times New Roman"/>
          <w:sz w:val="24"/>
          <w:szCs w:val="24"/>
        </w:rPr>
        <w:t>classification</w:t>
      </w:r>
      <w:r w:rsidR="00D920EF" w:rsidRPr="000C1E59">
        <w:rPr>
          <w:rFonts w:ascii="Times New Roman" w:hAnsi="Times New Roman" w:cs="Times New Roman"/>
          <w:sz w:val="24"/>
          <w:szCs w:val="24"/>
        </w:rPr>
        <w:t xml:space="preserve"> system </w:t>
      </w:r>
      <w:r w:rsidR="008F513B" w:rsidRPr="000C1E59">
        <w:rPr>
          <w:rFonts w:ascii="Times New Roman" w:hAnsi="Times New Roman" w:cs="Times New Roman"/>
          <w:sz w:val="24"/>
          <w:szCs w:val="24"/>
        </w:rPr>
        <w:t xml:space="preserve">to </w:t>
      </w:r>
      <w:r w:rsidR="00297DD6" w:rsidRPr="000C1E59">
        <w:rPr>
          <w:rFonts w:ascii="Times New Roman" w:hAnsi="Times New Roman" w:cs="Times New Roman"/>
          <w:sz w:val="24"/>
          <w:szCs w:val="24"/>
        </w:rPr>
        <w:t>describe</w:t>
      </w:r>
      <w:r w:rsidR="00D920EF" w:rsidRPr="000C1E59">
        <w:rPr>
          <w:rFonts w:ascii="Times New Roman" w:hAnsi="Times New Roman" w:cs="Times New Roman"/>
          <w:sz w:val="24"/>
          <w:szCs w:val="24"/>
        </w:rPr>
        <w:t xml:space="preserve"> students</w:t>
      </w:r>
      <w:r w:rsidR="003C5EA5" w:rsidRPr="000C1E59">
        <w:rPr>
          <w:rFonts w:ascii="Times New Roman" w:hAnsi="Times New Roman" w:cs="Times New Roman"/>
          <w:sz w:val="24"/>
          <w:szCs w:val="24"/>
        </w:rPr>
        <w:t>’</w:t>
      </w:r>
      <w:r w:rsidR="00D920EF" w:rsidRPr="000C1E59">
        <w:rPr>
          <w:rFonts w:ascii="Times New Roman" w:hAnsi="Times New Roman" w:cs="Times New Roman"/>
          <w:sz w:val="24"/>
          <w:szCs w:val="24"/>
        </w:rPr>
        <w:t xml:space="preserve"> </w:t>
      </w:r>
      <w:r w:rsidR="00297DD6" w:rsidRPr="000C1E59">
        <w:rPr>
          <w:rFonts w:ascii="Times New Roman" w:hAnsi="Times New Roman" w:cs="Times New Roman"/>
          <w:sz w:val="24"/>
          <w:szCs w:val="24"/>
        </w:rPr>
        <w:t xml:space="preserve">overall clerkship </w:t>
      </w:r>
      <w:r w:rsidR="00E43398" w:rsidRPr="000C1E59">
        <w:rPr>
          <w:rFonts w:ascii="Times New Roman" w:hAnsi="Times New Roman" w:cs="Times New Roman"/>
          <w:sz w:val="24"/>
          <w:szCs w:val="24"/>
        </w:rPr>
        <w:t xml:space="preserve">(Phase 2) </w:t>
      </w:r>
      <w:r w:rsidR="00297DD6" w:rsidRPr="000C1E59">
        <w:rPr>
          <w:rFonts w:ascii="Times New Roman" w:hAnsi="Times New Roman" w:cs="Times New Roman"/>
          <w:sz w:val="24"/>
          <w:szCs w:val="24"/>
        </w:rPr>
        <w:t>performance</w:t>
      </w:r>
      <w:r w:rsidR="00D920EF" w:rsidRPr="000C1E59">
        <w:rPr>
          <w:rFonts w:ascii="Times New Roman" w:hAnsi="Times New Roman" w:cs="Times New Roman"/>
          <w:sz w:val="24"/>
          <w:szCs w:val="24"/>
        </w:rPr>
        <w:t xml:space="preserve">. </w:t>
      </w:r>
      <w:r w:rsidR="00795D12" w:rsidRPr="000C1E59">
        <w:rPr>
          <w:rFonts w:ascii="Times New Roman" w:hAnsi="Times New Roman" w:cs="Times New Roman"/>
          <w:sz w:val="24"/>
          <w:szCs w:val="24"/>
        </w:rPr>
        <w:t xml:space="preserve">The </w:t>
      </w:r>
      <w:r w:rsidR="005E2268" w:rsidRPr="000C1E59">
        <w:rPr>
          <w:rFonts w:ascii="Times New Roman" w:hAnsi="Times New Roman" w:cs="Times New Roman"/>
          <w:sz w:val="24"/>
          <w:szCs w:val="24"/>
        </w:rPr>
        <w:t>classification/</w:t>
      </w:r>
      <w:r w:rsidR="00795D12" w:rsidRPr="000C1E59">
        <w:rPr>
          <w:rFonts w:ascii="Times New Roman" w:hAnsi="Times New Roman" w:cs="Times New Roman"/>
          <w:sz w:val="24"/>
          <w:szCs w:val="24"/>
        </w:rPr>
        <w:t>ranking syste</w:t>
      </w:r>
      <w:r w:rsidR="00795D12">
        <w:rPr>
          <w:rFonts w:ascii="Times New Roman" w:hAnsi="Times New Roman" w:cs="Times New Roman"/>
          <w:sz w:val="24"/>
          <w:szCs w:val="24"/>
        </w:rPr>
        <w:t xml:space="preserve">m </w:t>
      </w:r>
      <w:r w:rsidR="00C37A55" w:rsidRPr="009E5723">
        <w:rPr>
          <w:rFonts w:ascii="Times New Roman" w:hAnsi="Times New Roman" w:cs="Times New Roman"/>
          <w:sz w:val="24"/>
          <w:szCs w:val="24"/>
        </w:rPr>
        <w:t>i</w:t>
      </w:r>
      <w:r w:rsidR="005E137F" w:rsidRPr="009E5723">
        <w:rPr>
          <w:rFonts w:ascii="Times New Roman" w:hAnsi="Times New Roman" w:cs="Times New Roman"/>
          <w:sz w:val="24"/>
          <w:szCs w:val="24"/>
        </w:rPr>
        <w:t xml:space="preserve">s </w:t>
      </w:r>
      <w:r w:rsidR="002C3D80">
        <w:rPr>
          <w:rFonts w:ascii="Times New Roman" w:hAnsi="Times New Roman" w:cs="Times New Roman"/>
          <w:sz w:val="24"/>
          <w:szCs w:val="24"/>
        </w:rPr>
        <w:t xml:space="preserve">criterion-based </w:t>
      </w:r>
      <w:r w:rsidR="00363467">
        <w:rPr>
          <w:rFonts w:ascii="Times New Roman" w:hAnsi="Times New Roman" w:cs="Times New Roman"/>
          <w:sz w:val="24"/>
          <w:szCs w:val="24"/>
        </w:rPr>
        <w:t xml:space="preserve">whereby </w:t>
      </w:r>
      <w:r w:rsidR="002C3D80">
        <w:rPr>
          <w:rFonts w:ascii="Times New Roman" w:hAnsi="Times New Roman" w:cs="Times New Roman"/>
          <w:sz w:val="24"/>
          <w:szCs w:val="24"/>
        </w:rPr>
        <w:t xml:space="preserve">students are placed into rank categories based on </w:t>
      </w:r>
      <w:r w:rsidR="00363467">
        <w:rPr>
          <w:rFonts w:ascii="Times New Roman" w:hAnsi="Times New Roman" w:cs="Times New Roman"/>
          <w:sz w:val="24"/>
          <w:szCs w:val="24"/>
        </w:rPr>
        <w:t>specific criteria and not based on comparison to performance of other students. There are three rank categories</w:t>
      </w:r>
      <w:r w:rsidR="00E43398">
        <w:rPr>
          <w:rFonts w:ascii="Times New Roman" w:hAnsi="Times New Roman" w:cs="Times New Roman"/>
          <w:sz w:val="24"/>
          <w:szCs w:val="24"/>
        </w:rPr>
        <w:t xml:space="preserve"> for Phase 2</w:t>
      </w:r>
      <w:r w:rsidR="002247FF">
        <w:rPr>
          <w:rFonts w:ascii="Times New Roman" w:hAnsi="Times New Roman" w:cs="Times New Roman"/>
          <w:sz w:val="24"/>
          <w:szCs w:val="24"/>
        </w:rPr>
        <w:t>,</w:t>
      </w:r>
      <w:r w:rsidR="00E43398">
        <w:rPr>
          <w:rFonts w:ascii="Times New Roman" w:hAnsi="Times New Roman" w:cs="Times New Roman"/>
          <w:sz w:val="24"/>
          <w:szCs w:val="24"/>
        </w:rPr>
        <w:t xml:space="preserve"> </w:t>
      </w:r>
      <w:r w:rsidR="003279A1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and this information is reported on the student’s residency application, the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Medical School Performance Evaluation (MSPE). </w:t>
      </w:r>
      <w:r w:rsidR="00C37A55" w:rsidRPr="009E5723">
        <w:rPr>
          <w:rFonts w:ascii="Times New Roman" w:hAnsi="Times New Roman" w:cs="Times New Roman"/>
          <w:color w:val="221F1F"/>
          <w:sz w:val="24"/>
          <w:szCs w:val="24"/>
        </w:rPr>
        <w:t>It is important to note that</w:t>
      </w:r>
      <w:r w:rsidR="00284292">
        <w:rPr>
          <w:rFonts w:ascii="Times New Roman" w:hAnsi="Times New Roman" w:cs="Times New Roman"/>
          <w:color w:val="221F1F"/>
          <w:sz w:val="24"/>
          <w:szCs w:val="24"/>
        </w:rPr>
        <w:t xml:space="preserve"> a</w:t>
      </w:r>
      <w:r w:rsidR="00C37A55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numerical</w:t>
      </w:r>
      <w:r w:rsidR="000F4986" w:rsidRPr="009E5723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class</w:t>
      </w:r>
      <w:r w:rsidR="000F4986" w:rsidRPr="009E5723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rank</w:t>
      </w:r>
      <w:r w:rsidR="000F4986" w:rsidRPr="009E5723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="00704E39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for Phase 2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is</w:t>
      </w:r>
      <w:r w:rsidR="000F4986" w:rsidRPr="009E5723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="005234FC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not </w:t>
      </w:r>
      <w:r w:rsidR="00704E39">
        <w:rPr>
          <w:rFonts w:ascii="Times New Roman" w:hAnsi="Times New Roman" w:cs="Times New Roman"/>
          <w:color w:val="221F1F"/>
          <w:spacing w:val="-3"/>
          <w:sz w:val="24"/>
          <w:szCs w:val="24"/>
        </w:rPr>
        <w:t>calculated nor</w:t>
      </w:r>
      <w:r w:rsidR="000F4986" w:rsidRPr="009E5723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distributed</w:t>
      </w:r>
      <w:r w:rsidR="000F4986" w:rsidRPr="009E5723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to</w:t>
      </w:r>
      <w:r w:rsidR="000F4986" w:rsidRPr="009E5723">
        <w:rPr>
          <w:rFonts w:ascii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students</w:t>
      </w:r>
      <w:r w:rsidR="000F4986" w:rsidRPr="009E5723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or</w:t>
      </w:r>
      <w:r w:rsidR="000F4986" w:rsidRPr="009E5723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used</w:t>
      </w:r>
      <w:r w:rsidR="000F4986" w:rsidRPr="009E5723"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for</w:t>
      </w:r>
      <w:r w:rsidR="000F4986" w:rsidRPr="009E5723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the</w:t>
      </w:r>
      <w:r w:rsidR="000F4986" w:rsidRPr="009E5723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="000F4986" w:rsidRPr="009E5723">
        <w:rPr>
          <w:rFonts w:ascii="Times New Roman" w:hAnsi="Times New Roman" w:cs="Times New Roman"/>
          <w:color w:val="221F1F"/>
          <w:sz w:val="24"/>
          <w:szCs w:val="24"/>
        </w:rPr>
        <w:t>MSPE.</w:t>
      </w:r>
      <w:r w:rsidR="005234FC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03F9A6F3" w14:textId="77777777" w:rsidR="00E5317A" w:rsidRPr="009E5723" w:rsidRDefault="00E5317A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0A3D1930" w14:textId="62770399" w:rsidR="0016069E" w:rsidRDefault="007370BF" w:rsidP="0088461D">
      <w:pPr>
        <w:ind w:right="-720"/>
        <w:rPr>
          <w:rFonts w:ascii="Times New Roman" w:hAnsi="Times New Roman" w:cs="Times New Roman"/>
          <w:color w:val="221F1F"/>
          <w:sz w:val="24"/>
          <w:szCs w:val="24"/>
        </w:rPr>
      </w:pPr>
      <w:r w:rsidRPr="009E5723">
        <w:rPr>
          <w:rFonts w:ascii="Times New Roman" w:hAnsi="Times New Roman" w:cs="Times New Roman"/>
          <w:color w:val="221F1F"/>
          <w:sz w:val="24"/>
          <w:szCs w:val="24"/>
        </w:rPr>
        <w:t>The COM curriculum is divided into time periods</w:t>
      </w:r>
      <w:r w:rsidR="00D06845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 referred to as</w:t>
      </w:r>
      <w:r w:rsidR="00A21B95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 phases</w:t>
      </w:r>
      <w:r w:rsidR="00D06845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r w:rsidR="00E5317A" w:rsidRPr="009E5723">
        <w:rPr>
          <w:rFonts w:ascii="Times New Roman" w:hAnsi="Times New Roman" w:cs="Times New Roman"/>
          <w:color w:val="221F1F"/>
          <w:sz w:val="24"/>
          <w:szCs w:val="24"/>
        </w:rPr>
        <w:t xml:space="preserve">Class rank </w:t>
      </w:r>
      <w:r w:rsidR="005234FC">
        <w:rPr>
          <w:rFonts w:ascii="Times New Roman" w:hAnsi="Times New Roman" w:cs="Times New Roman"/>
          <w:color w:val="221F1F"/>
          <w:sz w:val="24"/>
          <w:szCs w:val="24"/>
        </w:rPr>
        <w:t xml:space="preserve">for Phase </w:t>
      </w:r>
      <w:r w:rsidR="00B71250">
        <w:rPr>
          <w:rFonts w:ascii="Times New Roman" w:hAnsi="Times New Roman" w:cs="Times New Roman"/>
          <w:color w:val="221F1F"/>
          <w:sz w:val="24"/>
          <w:szCs w:val="24"/>
        </w:rPr>
        <w:t>1 is</w:t>
      </w:r>
      <w:r w:rsidR="00237E88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B71250">
        <w:rPr>
          <w:rFonts w:ascii="Times New Roman" w:hAnsi="Times New Roman" w:cs="Times New Roman"/>
          <w:color w:val="221F1F"/>
          <w:sz w:val="24"/>
          <w:szCs w:val="24"/>
        </w:rPr>
        <w:t xml:space="preserve">handled separately and not discussed in this policy.  </w:t>
      </w:r>
    </w:p>
    <w:p w14:paraId="2590E183" w14:textId="77777777" w:rsidR="00B576A5" w:rsidRDefault="00B576A5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48B07DD5" w14:textId="6285625F" w:rsidR="007A0A23" w:rsidRDefault="009F2DB5" w:rsidP="00CD12DE">
      <w:pPr>
        <w:ind w:right="-720"/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 xml:space="preserve">Class rank </w:t>
      </w:r>
      <w:r w:rsidR="002A20B9">
        <w:rPr>
          <w:rFonts w:ascii="Times New Roman" w:hAnsi="Times New Roman" w:cs="Times New Roman"/>
          <w:color w:val="221F1F"/>
          <w:sz w:val="24"/>
          <w:szCs w:val="24"/>
        </w:rPr>
        <w:t xml:space="preserve">for Phase 2 </w:t>
      </w:r>
      <w:r w:rsidR="00B576A5">
        <w:rPr>
          <w:rFonts w:ascii="Times New Roman" w:hAnsi="Times New Roman" w:cs="Times New Roman"/>
          <w:color w:val="221F1F"/>
          <w:sz w:val="24"/>
          <w:szCs w:val="24"/>
        </w:rPr>
        <w:t xml:space="preserve">is based </w:t>
      </w:r>
      <w:r w:rsidR="00BE68FD" w:rsidRPr="00791279">
        <w:rPr>
          <w:rFonts w:ascii="Times New Roman" w:hAnsi="Times New Roman" w:cs="Times New Roman"/>
          <w:color w:val="221F1F"/>
          <w:sz w:val="24"/>
          <w:szCs w:val="24"/>
        </w:rPr>
        <w:t>primarily</w:t>
      </w:r>
      <w:r w:rsidR="00BE68FD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F315C7">
        <w:rPr>
          <w:rFonts w:ascii="Times New Roman" w:hAnsi="Times New Roman" w:cs="Times New Roman"/>
          <w:color w:val="221F1F"/>
          <w:sz w:val="24"/>
          <w:szCs w:val="24"/>
        </w:rPr>
        <w:t xml:space="preserve">on </w:t>
      </w:r>
      <w:r w:rsidR="00BE68FD">
        <w:rPr>
          <w:rFonts w:ascii="Times New Roman" w:hAnsi="Times New Roman" w:cs="Times New Roman"/>
          <w:color w:val="221F1F"/>
          <w:sz w:val="24"/>
          <w:szCs w:val="24"/>
        </w:rPr>
        <w:t>the t</w:t>
      </w:r>
      <w:r w:rsidR="000217C8" w:rsidRPr="00BE68FD">
        <w:rPr>
          <w:rFonts w:ascii="Times New Roman" w:hAnsi="Times New Roman" w:cs="Times New Roman"/>
          <w:color w:val="221F1F"/>
          <w:sz w:val="24"/>
          <w:szCs w:val="24"/>
        </w:rPr>
        <w:t>otal number of Excellences</w:t>
      </w:r>
      <w:r w:rsidR="00641C5D">
        <w:rPr>
          <w:rFonts w:ascii="Times New Roman" w:hAnsi="Times New Roman" w:cs="Times New Roman"/>
          <w:color w:val="221F1F"/>
          <w:sz w:val="24"/>
          <w:szCs w:val="24"/>
        </w:rPr>
        <w:t xml:space="preserve"> (E’s)</w:t>
      </w:r>
      <w:r w:rsidR="000217C8" w:rsidRPr="00BE68FD">
        <w:rPr>
          <w:rFonts w:ascii="Times New Roman" w:hAnsi="Times New Roman" w:cs="Times New Roman"/>
          <w:color w:val="221F1F"/>
          <w:sz w:val="24"/>
          <w:szCs w:val="24"/>
        </w:rPr>
        <w:t xml:space="preserve"> achieved during </w:t>
      </w:r>
      <w:r w:rsidR="00A44AC7">
        <w:rPr>
          <w:rFonts w:ascii="Times New Roman" w:hAnsi="Times New Roman" w:cs="Times New Roman"/>
          <w:color w:val="221F1F"/>
          <w:sz w:val="24"/>
          <w:szCs w:val="24"/>
        </w:rPr>
        <w:t xml:space="preserve">the 7 </w:t>
      </w:r>
      <w:r w:rsidR="000217C8" w:rsidRPr="00BE68FD">
        <w:rPr>
          <w:rFonts w:ascii="Times New Roman" w:hAnsi="Times New Roman" w:cs="Times New Roman"/>
          <w:color w:val="221F1F"/>
          <w:sz w:val="24"/>
          <w:szCs w:val="24"/>
        </w:rPr>
        <w:t>core clerkships</w:t>
      </w:r>
      <w:r w:rsidR="00641C5D">
        <w:rPr>
          <w:rFonts w:ascii="Times New Roman" w:hAnsi="Times New Roman" w:cs="Times New Roman"/>
          <w:color w:val="221F1F"/>
          <w:sz w:val="24"/>
          <w:szCs w:val="24"/>
        </w:rPr>
        <w:t xml:space="preserve">, with </w:t>
      </w:r>
      <w:r w:rsidR="00A44AC7">
        <w:rPr>
          <w:rFonts w:ascii="Times New Roman" w:hAnsi="Times New Roman" w:cs="Times New Roman"/>
          <w:color w:val="221F1F"/>
          <w:sz w:val="24"/>
          <w:szCs w:val="24"/>
        </w:rPr>
        <w:t xml:space="preserve">the possibility of a student achieving </w:t>
      </w:r>
      <w:r w:rsidR="007A1893">
        <w:rPr>
          <w:rFonts w:ascii="Times New Roman" w:hAnsi="Times New Roman" w:cs="Times New Roman"/>
          <w:color w:val="221F1F"/>
          <w:sz w:val="24"/>
          <w:szCs w:val="24"/>
        </w:rPr>
        <w:t xml:space="preserve">up to 4 </w:t>
      </w:r>
      <w:r w:rsidR="00641C5D">
        <w:rPr>
          <w:rFonts w:ascii="Times New Roman" w:hAnsi="Times New Roman" w:cs="Times New Roman"/>
          <w:color w:val="221F1F"/>
          <w:sz w:val="24"/>
          <w:szCs w:val="24"/>
        </w:rPr>
        <w:t xml:space="preserve">possible </w:t>
      </w:r>
      <w:proofErr w:type="gramStart"/>
      <w:r w:rsidR="00641C5D">
        <w:rPr>
          <w:rFonts w:ascii="Times New Roman" w:hAnsi="Times New Roman" w:cs="Times New Roman"/>
          <w:color w:val="221F1F"/>
          <w:sz w:val="24"/>
          <w:szCs w:val="24"/>
        </w:rPr>
        <w:t>E’s</w:t>
      </w:r>
      <w:proofErr w:type="gramEnd"/>
      <w:r w:rsidR="00641C5D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A44AC7">
        <w:rPr>
          <w:rFonts w:ascii="Times New Roman" w:hAnsi="Times New Roman" w:cs="Times New Roman"/>
          <w:color w:val="221F1F"/>
          <w:sz w:val="24"/>
          <w:szCs w:val="24"/>
        </w:rPr>
        <w:t>per clerkship.</w:t>
      </w:r>
      <w:r w:rsidR="007470F6">
        <w:rPr>
          <w:rFonts w:ascii="Times New Roman" w:hAnsi="Times New Roman" w:cs="Times New Roman"/>
          <w:color w:val="221F1F"/>
          <w:sz w:val="24"/>
          <w:szCs w:val="24"/>
        </w:rPr>
        <w:t xml:space="preserve"> Students should refer to the clerkship syllabus to </w:t>
      </w:r>
      <w:r w:rsidR="006E3E7A">
        <w:rPr>
          <w:rFonts w:ascii="Times New Roman" w:hAnsi="Times New Roman" w:cs="Times New Roman"/>
          <w:color w:val="221F1F"/>
          <w:sz w:val="24"/>
          <w:szCs w:val="24"/>
        </w:rPr>
        <w:t xml:space="preserve">see a detailed outline on the </w:t>
      </w:r>
      <w:r w:rsidR="00E612B3">
        <w:rPr>
          <w:rFonts w:ascii="Times New Roman" w:hAnsi="Times New Roman" w:cs="Times New Roman"/>
          <w:color w:val="221F1F"/>
          <w:sz w:val="24"/>
          <w:szCs w:val="24"/>
        </w:rPr>
        <w:t xml:space="preserve">assessments and grading schema to achieve </w:t>
      </w:r>
      <w:proofErr w:type="gramStart"/>
      <w:r w:rsidR="00E612B3">
        <w:rPr>
          <w:rFonts w:ascii="Times New Roman" w:hAnsi="Times New Roman" w:cs="Times New Roman"/>
          <w:color w:val="221F1F"/>
          <w:sz w:val="24"/>
          <w:szCs w:val="24"/>
        </w:rPr>
        <w:t xml:space="preserve">an </w:t>
      </w:r>
      <w:r w:rsidR="005101A7">
        <w:rPr>
          <w:rFonts w:ascii="Times New Roman" w:hAnsi="Times New Roman" w:cs="Times New Roman"/>
          <w:color w:val="221F1F"/>
          <w:sz w:val="24"/>
          <w:szCs w:val="24"/>
        </w:rPr>
        <w:t>E</w:t>
      </w:r>
      <w:r w:rsidR="00E612B3">
        <w:rPr>
          <w:rFonts w:ascii="Times New Roman" w:hAnsi="Times New Roman" w:cs="Times New Roman"/>
          <w:color w:val="221F1F"/>
          <w:sz w:val="24"/>
          <w:szCs w:val="24"/>
        </w:rPr>
        <w:t>xcellence</w:t>
      </w:r>
      <w:proofErr w:type="gramEnd"/>
      <w:r w:rsidR="00E612B3">
        <w:rPr>
          <w:rFonts w:ascii="Times New Roman" w:hAnsi="Times New Roman" w:cs="Times New Roman"/>
          <w:color w:val="221F1F"/>
          <w:sz w:val="24"/>
          <w:szCs w:val="24"/>
        </w:rPr>
        <w:t>.</w:t>
      </w:r>
      <w:r w:rsidR="00A44AC7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9324A5">
        <w:rPr>
          <w:rFonts w:ascii="Times New Roman" w:hAnsi="Times New Roman" w:cs="Times New Roman"/>
          <w:color w:val="221F1F"/>
          <w:sz w:val="24"/>
          <w:szCs w:val="24"/>
        </w:rPr>
        <w:t>Each Excellence is weighted based on the length of the clerkship in which it was achieved</w:t>
      </w:r>
      <w:r w:rsidR="005F158E">
        <w:rPr>
          <w:rFonts w:ascii="Times New Roman" w:hAnsi="Times New Roman" w:cs="Times New Roman"/>
          <w:color w:val="221F1F"/>
          <w:sz w:val="24"/>
          <w:szCs w:val="24"/>
        </w:rPr>
        <w:t xml:space="preserve">, with the possibility of a student achieving up to </w:t>
      </w:r>
      <w:r w:rsidR="00023D36">
        <w:rPr>
          <w:rFonts w:ascii="Times New Roman" w:hAnsi="Times New Roman" w:cs="Times New Roman"/>
          <w:color w:val="221F1F"/>
          <w:sz w:val="24"/>
          <w:szCs w:val="24"/>
        </w:rPr>
        <w:t>88</w:t>
      </w:r>
      <w:r w:rsidR="005F158E">
        <w:rPr>
          <w:rFonts w:ascii="Times New Roman" w:hAnsi="Times New Roman" w:cs="Times New Roman"/>
          <w:color w:val="221F1F"/>
          <w:sz w:val="24"/>
          <w:szCs w:val="24"/>
        </w:rPr>
        <w:t xml:space="preserve"> possible weighted </w:t>
      </w:r>
      <w:proofErr w:type="gramStart"/>
      <w:r w:rsidR="005F158E">
        <w:rPr>
          <w:rFonts w:ascii="Times New Roman" w:hAnsi="Times New Roman" w:cs="Times New Roman"/>
          <w:color w:val="221F1F"/>
          <w:sz w:val="24"/>
          <w:szCs w:val="24"/>
        </w:rPr>
        <w:t>E’s</w:t>
      </w:r>
      <w:proofErr w:type="gramEnd"/>
      <w:r w:rsidR="005F158E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023D36">
        <w:rPr>
          <w:rFonts w:ascii="Times New Roman" w:hAnsi="Times New Roman" w:cs="Times New Roman"/>
          <w:color w:val="221F1F"/>
          <w:sz w:val="24"/>
          <w:szCs w:val="24"/>
        </w:rPr>
        <w:t>in Phase 2.</w:t>
      </w:r>
    </w:p>
    <w:p w14:paraId="2C1A8F0F" w14:textId="77777777" w:rsidR="008A5743" w:rsidRDefault="008A5743" w:rsidP="00BE68FD">
      <w:pPr>
        <w:rPr>
          <w:rFonts w:ascii="Times New Roman" w:hAnsi="Times New Roman" w:cs="Times New Roman"/>
          <w:color w:val="221F1F"/>
          <w:sz w:val="24"/>
          <w:szCs w:val="24"/>
        </w:rPr>
      </w:pPr>
    </w:p>
    <w:tbl>
      <w:tblPr>
        <w:tblW w:w="9895" w:type="dxa"/>
        <w:tblInd w:w="5" w:type="dxa"/>
        <w:tblLook w:val="04A0" w:firstRow="1" w:lastRow="0" w:firstColumn="1" w:lastColumn="0" w:noHBand="0" w:noVBand="1"/>
      </w:tblPr>
      <w:tblGrid>
        <w:gridCol w:w="3775"/>
        <w:gridCol w:w="1890"/>
        <w:gridCol w:w="1710"/>
        <w:gridCol w:w="2520"/>
      </w:tblGrid>
      <w:tr w:rsidR="00952B88" w:rsidRPr="009E5723" w14:paraId="6791C8C2" w14:textId="270DFDF3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7FF58F" w14:textId="2ECF52F7" w:rsidR="00952B88" w:rsidRPr="00E60328" w:rsidRDefault="00952B88" w:rsidP="00E965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FC2F3D" w14:textId="3B5B6639" w:rsidR="00952B88" w:rsidRPr="009E5723" w:rsidRDefault="00952B88" w:rsidP="00E965F1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Clerkship Length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AD0B27" w14:textId="38CED68E" w:rsidR="00952B88" w:rsidRPr="009E5723" w:rsidRDefault="00952B88" w:rsidP="00E965F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Weight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bottom"/>
          </w:tcPr>
          <w:p w14:paraId="5ED40913" w14:textId="7660AF6B" w:rsidR="00952B88" w:rsidRPr="003D20E4" w:rsidRDefault="00F07836" w:rsidP="003D2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Possible Weighted E’s</w:t>
            </w:r>
          </w:p>
        </w:tc>
      </w:tr>
      <w:tr w:rsidR="00952B88" w:rsidRPr="009E5723" w14:paraId="52E84F4D" w14:textId="58E8DBA7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CFA267" w14:textId="105B6136" w:rsidR="00952B88" w:rsidRPr="009E5723" w:rsidRDefault="00952B88" w:rsidP="00E96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Medicine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9620C8" w14:textId="6CE4B8F5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7490EB" w14:textId="1E71EA71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83F8DC6" w14:textId="7232C1BF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52B88" w:rsidRPr="009E5723" w14:paraId="70BF5497" w14:textId="731C8B0E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372533" w14:textId="53C94E7A" w:rsidR="00952B88" w:rsidRPr="009E5723" w:rsidRDefault="00952B88" w:rsidP="00E96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Neuroscience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9AE268" w14:textId="4FDEE547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EC7132" w14:textId="59F281CE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0F86E8" w14:textId="203FBE51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52B88" w:rsidRPr="009E5723" w14:paraId="298A3778" w14:textId="4090BFE5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1D255B" w14:textId="174873A6" w:rsidR="00952B88" w:rsidRPr="009E5723" w:rsidRDefault="00952B88" w:rsidP="00E60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Obstetrics/Gynecology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2F01AE" w14:textId="38B23523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60402A" w14:textId="60FC887F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0C1E8BB6" w14:textId="46179DEB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2B88" w:rsidRPr="009E5723" w14:paraId="7BFD8F63" w14:textId="7C168B78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7EB084" w14:textId="45FCD263" w:rsidR="00952B88" w:rsidRPr="009E5723" w:rsidRDefault="00952B88" w:rsidP="00E60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Psychiatry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467B17" w14:textId="408AEBAC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ECF19A" w14:textId="3086DB9E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07F166CB" w14:textId="38116076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2B88" w:rsidRPr="009E5723" w14:paraId="795A3028" w14:textId="7B605B71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72BF20" w14:textId="5ED21928" w:rsidR="00952B88" w:rsidRPr="009E5723" w:rsidRDefault="00952B88" w:rsidP="00E60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Internal Medicine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1B19B2" w14:textId="44872F6E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B5B128" w14:textId="564513E9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AA103CC" w14:textId="7897668B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2B88" w:rsidRPr="009E5723" w14:paraId="6761E97C" w14:textId="3FDD93C4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F66CA3" w14:textId="5AC4E258" w:rsidR="00952B88" w:rsidRPr="009E5723" w:rsidRDefault="00952B88" w:rsidP="00E60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Pediatrics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B277AA" w14:textId="7B1D5F97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A5956B" w14:textId="1ED9C8E4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327A9A46" w14:textId="07176CD1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2B88" w:rsidRPr="009E5723" w14:paraId="48B11D23" w14:textId="0EB7D435" w:rsidTr="003D20E4">
        <w:trPr>
          <w:trHeight w:val="345"/>
        </w:trPr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471C0E" w14:textId="305EE8E0" w:rsidR="00952B88" w:rsidRPr="009E5723" w:rsidRDefault="00952B88" w:rsidP="00E60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Surgery Core Clerkship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0C0F0A" w14:textId="7C04DA97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weeks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A9D731" w14:textId="32A6E53E" w:rsidR="00952B88" w:rsidRPr="009E5723" w:rsidRDefault="00952B88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D549D57" w14:textId="755662CD" w:rsidR="00952B88" w:rsidRPr="003D20E4" w:rsidRDefault="003D20E4" w:rsidP="003D2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14:paraId="4F025970" w14:textId="77777777" w:rsidR="007A0A23" w:rsidRDefault="007A0A23" w:rsidP="00BE68FD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4121C3F7" w14:textId="60D39D5D" w:rsidR="000217C8" w:rsidRPr="00BE68FD" w:rsidRDefault="00E80913" w:rsidP="00BE68FD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 xml:space="preserve">Students must achieve </w:t>
      </w:r>
      <w:r w:rsidR="00F85ED0">
        <w:rPr>
          <w:rFonts w:ascii="Times New Roman" w:hAnsi="Times New Roman" w:cs="Times New Roman"/>
          <w:color w:val="221F1F"/>
          <w:sz w:val="24"/>
          <w:szCs w:val="24"/>
        </w:rPr>
        <w:t>a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4D3937">
        <w:rPr>
          <w:rFonts w:ascii="Times New Roman" w:hAnsi="Times New Roman" w:cs="Times New Roman"/>
          <w:color w:val="221F1F"/>
          <w:sz w:val="24"/>
          <w:szCs w:val="24"/>
        </w:rPr>
        <w:t xml:space="preserve">minimum number of weighted Excellences </w:t>
      </w:r>
      <w:r w:rsidR="00F85ED0">
        <w:rPr>
          <w:rFonts w:ascii="Times New Roman" w:hAnsi="Times New Roman" w:cs="Times New Roman"/>
          <w:color w:val="221F1F"/>
          <w:sz w:val="24"/>
          <w:szCs w:val="24"/>
        </w:rPr>
        <w:t>to be</w:t>
      </w:r>
      <w:r w:rsidR="004D3937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F85ED0">
        <w:rPr>
          <w:rFonts w:ascii="Times New Roman" w:hAnsi="Times New Roman" w:cs="Times New Roman"/>
          <w:color w:val="221F1F"/>
          <w:sz w:val="24"/>
          <w:szCs w:val="24"/>
        </w:rPr>
        <w:t>eligible</w:t>
      </w:r>
      <w:r w:rsidR="004D3937">
        <w:rPr>
          <w:rFonts w:ascii="Times New Roman" w:hAnsi="Times New Roman" w:cs="Times New Roman"/>
          <w:color w:val="221F1F"/>
          <w:sz w:val="24"/>
          <w:szCs w:val="24"/>
        </w:rPr>
        <w:t xml:space="preserve"> for a </w:t>
      </w:r>
      <w:r w:rsidR="00C112D4">
        <w:rPr>
          <w:rFonts w:ascii="Times New Roman" w:hAnsi="Times New Roman" w:cs="Times New Roman"/>
          <w:color w:val="221F1F"/>
          <w:sz w:val="24"/>
          <w:szCs w:val="24"/>
        </w:rPr>
        <w:t xml:space="preserve">specific </w:t>
      </w:r>
      <w:r w:rsidR="004D3937">
        <w:rPr>
          <w:rFonts w:ascii="Times New Roman" w:hAnsi="Times New Roman" w:cs="Times New Roman"/>
          <w:color w:val="221F1F"/>
          <w:sz w:val="24"/>
          <w:szCs w:val="24"/>
        </w:rPr>
        <w:t>rank category</w:t>
      </w:r>
      <w:r w:rsidR="00BE68FD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r w:rsidR="00B54550">
        <w:rPr>
          <w:rFonts w:ascii="Times New Roman" w:hAnsi="Times New Roman" w:cs="Times New Roman"/>
          <w:color w:val="221F1F"/>
          <w:sz w:val="24"/>
          <w:szCs w:val="24"/>
        </w:rPr>
        <w:t xml:space="preserve">To remain eligible for </w:t>
      </w:r>
      <w:r w:rsidR="00C112D4">
        <w:rPr>
          <w:rFonts w:ascii="Times New Roman" w:hAnsi="Times New Roman" w:cs="Times New Roman"/>
          <w:color w:val="221F1F"/>
          <w:sz w:val="24"/>
          <w:szCs w:val="24"/>
        </w:rPr>
        <w:t>that rank category, students must not exceed the maximum</w:t>
      </w:r>
      <w:r w:rsidR="00B54550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C112D4">
        <w:rPr>
          <w:rFonts w:ascii="Times New Roman" w:hAnsi="Times New Roman" w:cs="Times New Roman"/>
          <w:color w:val="221F1F"/>
          <w:sz w:val="24"/>
          <w:szCs w:val="24"/>
        </w:rPr>
        <w:t>nu</w:t>
      </w:r>
      <w:r w:rsidR="00BE68FD">
        <w:rPr>
          <w:rFonts w:ascii="Times New Roman" w:hAnsi="Times New Roman" w:cs="Times New Roman"/>
          <w:color w:val="221F1F"/>
          <w:sz w:val="24"/>
          <w:szCs w:val="24"/>
        </w:rPr>
        <w:t>mber of Pass (P), Conditional (C), and Fail (F) grades</w:t>
      </w:r>
      <w:r w:rsidR="00A6640E">
        <w:rPr>
          <w:rFonts w:ascii="Times New Roman" w:hAnsi="Times New Roman" w:cs="Times New Roman"/>
          <w:color w:val="221F1F"/>
          <w:sz w:val="24"/>
          <w:szCs w:val="24"/>
        </w:rPr>
        <w:t xml:space="preserve"> defined for that specific rank category.  </w:t>
      </w:r>
    </w:p>
    <w:p w14:paraId="0942F064" w14:textId="77777777" w:rsidR="008B47FC" w:rsidRDefault="008B47FC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00F03F9F" w14:textId="77777777" w:rsidR="004E4AB7" w:rsidRDefault="004E4AB7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0DBD3EAD" w14:textId="77777777" w:rsidR="000A00E4" w:rsidRDefault="000A00E4" w:rsidP="000A00E4">
      <w:pPr>
        <w:rPr>
          <w:rFonts w:ascii="Times New Roman" w:hAnsi="Times New Roman" w:cs="Times New Roman"/>
          <w:color w:val="221F1F"/>
          <w:sz w:val="24"/>
          <w:szCs w:val="24"/>
        </w:rPr>
      </w:pPr>
    </w:p>
    <w:tbl>
      <w:tblPr>
        <w:tblW w:w="9895" w:type="dxa"/>
        <w:tblInd w:w="5" w:type="dxa"/>
        <w:tblLook w:val="04A0" w:firstRow="1" w:lastRow="0" w:firstColumn="1" w:lastColumn="0" w:noHBand="0" w:noVBand="1"/>
      </w:tblPr>
      <w:tblGrid>
        <w:gridCol w:w="3055"/>
        <w:gridCol w:w="2430"/>
        <w:gridCol w:w="1890"/>
        <w:gridCol w:w="450"/>
        <w:gridCol w:w="2070"/>
      </w:tblGrid>
      <w:tr w:rsidR="000A00E4" w:rsidRPr="009E5723" w14:paraId="4D8F9C7D" w14:textId="77777777" w:rsidTr="000A00E4">
        <w:trPr>
          <w:trHeight w:val="345"/>
        </w:trPr>
        <w:tc>
          <w:tcPr>
            <w:tcW w:w="3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1A30E4" w14:textId="235B1152" w:rsidR="000A00E4" w:rsidRPr="00E60328" w:rsidRDefault="000A00E4" w:rsidP="00E965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riteria by Category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D25D96" w14:textId="0C0C80C5" w:rsidR="000A00E4" w:rsidRPr="009E5723" w:rsidRDefault="00246870" w:rsidP="000A00E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Outstanding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5D3DA0" w14:textId="329E3116" w:rsidR="000A00E4" w:rsidRPr="009E5723" w:rsidRDefault="00246870" w:rsidP="00246870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Proficient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bottom"/>
          </w:tcPr>
          <w:p w14:paraId="0011FFD1" w14:textId="496C626D" w:rsidR="000A00E4" w:rsidRPr="003D20E4" w:rsidRDefault="00246870" w:rsidP="00BC2E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Competent</w:t>
            </w:r>
          </w:p>
        </w:tc>
      </w:tr>
      <w:tr w:rsidR="000A00E4" w:rsidRPr="009E5723" w14:paraId="28C8D703" w14:textId="77777777" w:rsidTr="000A00E4">
        <w:trPr>
          <w:trHeight w:val="345"/>
        </w:trPr>
        <w:tc>
          <w:tcPr>
            <w:tcW w:w="3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733DA8" w14:textId="22F46915" w:rsidR="000A00E4" w:rsidRPr="009E5723" w:rsidRDefault="000A00E4" w:rsidP="00E96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# of weighted E’s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1119C3" w14:textId="79AD418B" w:rsidR="000A00E4" w:rsidRPr="009E5723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66+ weighted E’s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1655D6" w14:textId="279A568A" w:rsidR="000A00E4" w:rsidRPr="009E5723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45-65 weighted E’s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6FE7C04A" w14:textId="7CFE611B" w:rsidR="000A00E4" w:rsidRPr="003D20E4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45 weighted E’s</w:t>
            </w:r>
          </w:p>
        </w:tc>
      </w:tr>
      <w:tr w:rsidR="000A00E4" w:rsidRPr="009E5723" w14:paraId="1BCCF978" w14:textId="77777777" w:rsidTr="000A00E4">
        <w:trPr>
          <w:trHeight w:val="345"/>
        </w:trPr>
        <w:tc>
          <w:tcPr>
            <w:tcW w:w="3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ED58CB" w14:textId="3F99416F" w:rsidR="000A00E4" w:rsidRPr="009E5723" w:rsidRDefault="000A00E4" w:rsidP="00E965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 # of Passes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744142" w14:textId="36ECE51F" w:rsidR="000A00E4" w:rsidRPr="009E5723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1 Pass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F84ED3" w14:textId="095336C6" w:rsidR="000A00E4" w:rsidRPr="009E5723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2 Pass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F4EA4A" w14:textId="6ECF1DCF" w:rsidR="000A00E4" w:rsidRPr="003D20E4" w:rsidRDefault="000A00E4" w:rsidP="000A0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</w:t>
            </w:r>
            <w:r w:rsidR="0051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A00E4" w:rsidRPr="009E5723" w14:paraId="030A0BDC" w14:textId="77777777" w:rsidTr="008C76A4">
        <w:trPr>
          <w:trHeight w:val="345"/>
        </w:trPr>
        <w:tc>
          <w:tcPr>
            <w:tcW w:w="3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B293E" w14:textId="4A57950A" w:rsidR="000A00E4" w:rsidRPr="009E5723" w:rsidRDefault="000A00E4" w:rsidP="0019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Exclusion of C or F grades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EF49" w14:textId="488E0DF0" w:rsidR="000A00E4" w:rsidRPr="009E5723" w:rsidRDefault="000A00E4" w:rsidP="008C7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C or F grades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60C02" w14:textId="77777777" w:rsidR="000A00E4" w:rsidRDefault="000A00E4" w:rsidP="008C7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F grades</w:t>
            </w:r>
          </w:p>
          <w:p w14:paraId="621DB376" w14:textId="16EED3F5" w:rsidR="000A00E4" w:rsidRPr="009E5723" w:rsidRDefault="000A00E4" w:rsidP="008C7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 1 C grade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7A9DF2" w14:textId="0B04E374" w:rsidR="000A00E4" w:rsidRPr="003D20E4" w:rsidRDefault="000A00E4" w:rsidP="008C7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</w:t>
            </w:r>
            <w:r w:rsidR="00510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</w:tbl>
    <w:p w14:paraId="6E7ED46D" w14:textId="6B1562CC" w:rsidR="00BA062B" w:rsidRDefault="00BA062B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64F7C65F" w14:textId="0B24715A" w:rsidR="002E3341" w:rsidRDefault="008C76A4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 xml:space="preserve">If a </w:t>
      </w:r>
      <w:r w:rsidR="002E3341">
        <w:rPr>
          <w:rFonts w:ascii="Times New Roman" w:hAnsi="Times New Roman" w:cs="Times New Roman"/>
          <w:color w:val="221F1F"/>
          <w:sz w:val="24"/>
          <w:szCs w:val="24"/>
        </w:rPr>
        <w:t>student remediates a course d</w:t>
      </w:r>
      <w:r w:rsidR="00E91F06">
        <w:rPr>
          <w:rFonts w:ascii="Times New Roman" w:hAnsi="Times New Roman" w:cs="Times New Roman"/>
          <w:color w:val="221F1F"/>
          <w:sz w:val="24"/>
          <w:szCs w:val="24"/>
        </w:rPr>
        <w:t>ue</w:t>
      </w:r>
      <w:r w:rsidR="002E3341">
        <w:rPr>
          <w:rFonts w:ascii="Times New Roman" w:hAnsi="Times New Roman" w:cs="Times New Roman"/>
          <w:color w:val="221F1F"/>
          <w:sz w:val="24"/>
          <w:szCs w:val="24"/>
        </w:rPr>
        <w:t xml:space="preserve"> to a Conditional (C) grade, </w:t>
      </w:r>
      <w:r w:rsidR="003C4BD4">
        <w:rPr>
          <w:rFonts w:ascii="Times New Roman" w:hAnsi="Times New Roman" w:cs="Times New Roman"/>
          <w:color w:val="221F1F"/>
          <w:sz w:val="24"/>
          <w:szCs w:val="24"/>
        </w:rPr>
        <w:t xml:space="preserve">the initial total Excellences </w:t>
      </w:r>
      <w:r w:rsidR="00E648A6">
        <w:rPr>
          <w:rFonts w:ascii="Times New Roman" w:hAnsi="Times New Roman" w:cs="Times New Roman"/>
          <w:color w:val="221F1F"/>
          <w:sz w:val="24"/>
          <w:szCs w:val="24"/>
        </w:rPr>
        <w:t xml:space="preserve">for that clerkship </w:t>
      </w:r>
      <w:r w:rsidR="003C4BD4">
        <w:rPr>
          <w:rFonts w:ascii="Times New Roman" w:hAnsi="Times New Roman" w:cs="Times New Roman"/>
          <w:color w:val="221F1F"/>
          <w:sz w:val="24"/>
          <w:szCs w:val="24"/>
        </w:rPr>
        <w:t xml:space="preserve">will be used for rank determination.  </w:t>
      </w:r>
    </w:p>
    <w:p w14:paraId="6B2691BD" w14:textId="77777777" w:rsidR="002E3341" w:rsidRDefault="002E3341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517FF13F" w14:textId="1A67809B" w:rsidR="004E4AB7" w:rsidRDefault="003C4BD4" w:rsidP="007B793F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 xml:space="preserve">If a </w:t>
      </w:r>
      <w:r w:rsidR="008C76A4">
        <w:rPr>
          <w:rFonts w:ascii="Times New Roman" w:hAnsi="Times New Roman" w:cs="Times New Roman"/>
          <w:color w:val="221F1F"/>
          <w:sz w:val="24"/>
          <w:szCs w:val="24"/>
        </w:rPr>
        <w:t xml:space="preserve">student </w:t>
      </w:r>
      <w:r w:rsidR="002E3341">
        <w:rPr>
          <w:rFonts w:ascii="Times New Roman" w:hAnsi="Times New Roman" w:cs="Times New Roman"/>
          <w:color w:val="221F1F"/>
          <w:sz w:val="24"/>
          <w:szCs w:val="24"/>
        </w:rPr>
        <w:t>repeats a course d</w:t>
      </w:r>
      <w:r w:rsidR="00E91F06">
        <w:rPr>
          <w:rFonts w:ascii="Times New Roman" w:hAnsi="Times New Roman" w:cs="Times New Roman"/>
          <w:color w:val="221F1F"/>
          <w:sz w:val="24"/>
          <w:szCs w:val="24"/>
        </w:rPr>
        <w:t>ue</w:t>
      </w:r>
      <w:r w:rsidR="002E3341">
        <w:rPr>
          <w:rFonts w:ascii="Times New Roman" w:hAnsi="Times New Roman" w:cs="Times New Roman"/>
          <w:color w:val="221F1F"/>
          <w:sz w:val="24"/>
          <w:szCs w:val="24"/>
        </w:rPr>
        <w:t xml:space="preserve"> to a Fail grade</w:t>
      </w:r>
      <w:r w:rsidR="008C76A4">
        <w:rPr>
          <w:rFonts w:ascii="Times New Roman" w:hAnsi="Times New Roman" w:cs="Times New Roman"/>
          <w:color w:val="221F1F"/>
          <w:sz w:val="24"/>
          <w:szCs w:val="24"/>
        </w:rPr>
        <w:t xml:space="preserve">, </w:t>
      </w:r>
      <w:r w:rsidR="00A27B30">
        <w:rPr>
          <w:rFonts w:ascii="Times New Roman" w:hAnsi="Times New Roman" w:cs="Times New Roman"/>
          <w:color w:val="221F1F"/>
          <w:sz w:val="24"/>
          <w:szCs w:val="24"/>
        </w:rPr>
        <w:t xml:space="preserve">the total Excellences achieved </w:t>
      </w:r>
      <w:r w:rsidR="00D214E6">
        <w:rPr>
          <w:rFonts w:ascii="Times New Roman" w:hAnsi="Times New Roman" w:cs="Times New Roman"/>
          <w:color w:val="221F1F"/>
          <w:sz w:val="24"/>
          <w:szCs w:val="24"/>
        </w:rPr>
        <w:t xml:space="preserve">in their final attempt at the </w:t>
      </w:r>
      <w:r w:rsidR="00E648A6">
        <w:rPr>
          <w:rFonts w:ascii="Times New Roman" w:hAnsi="Times New Roman" w:cs="Times New Roman"/>
          <w:color w:val="221F1F"/>
          <w:sz w:val="24"/>
          <w:szCs w:val="24"/>
        </w:rPr>
        <w:t>clerkship</w:t>
      </w:r>
      <w:r w:rsidR="00D214E6">
        <w:rPr>
          <w:rFonts w:ascii="Times New Roman" w:hAnsi="Times New Roman" w:cs="Times New Roman"/>
          <w:color w:val="221F1F"/>
          <w:sz w:val="24"/>
          <w:szCs w:val="24"/>
        </w:rPr>
        <w:t xml:space="preserve"> will be </w:t>
      </w:r>
      <w:r w:rsidR="00C13E1D">
        <w:rPr>
          <w:rFonts w:ascii="Times New Roman" w:hAnsi="Times New Roman" w:cs="Times New Roman"/>
          <w:color w:val="221F1F"/>
          <w:sz w:val="24"/>
          <w:szCs w:val="24"/>
        </w:rPr>
        <w:t>calculated.  However, students are only eligible for the bottom rank category after a Fail grade</w:t>
      </w:r>
      <w:r w:rsidR="002E3341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</w:p>
    <w:p w14:paraId="02E236F2" w14:textId="77777777" w:rsidR="00BA062B" w:rsidRDefault="00BA062B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4328AD94" w14:textId="3E2125C3" w:rsidR="00661BA2" w:rsidRDefault="00661BA2">
      <w:pPr>
        <w:rPr>
          <w:rFonts w:ascii="Times New Roman" w:hAnsi="Times New Roman" w:cs="Times New Roman"/>
          <w:color w:val="221F1F"/>
          <w:sz w:val="24"/>
          <w:szCs w:val="24"/>
        </w:rPr>
      </w:pPr>
      <w:r w:rsidRPr="6B3DCA99">
        <w:rPr>
          <w:rFonts w:ascii="Times New Roman" w:hAnsi="Times New Roman" w:cs="Times New Roman"/>
          <w:color w:val="221F1F"/>
          <w:sz w:val="24"/>
          <w:szCs w:val="24"/>
        </w:rPr>
        <w:t xml:space="preserve">The minimum number of weighted E’s required for each rank category </w:t>
      </w:r>
      <w:r w:rsidR="00F51B29" w:rsidRPr="6B3DCA99">
        <w:rPr>
          <w:rFonts w:ascii="Times New Roman" w:hAnsi="Times New Roman" w:cs="Times New Roman"/>
          <w:color w:val="221F1F"/>
          <w:sz w:val="24"/>
          <w:szCs w:val="24"/>
        </w:rPr>
        <w:t>is</w:t>
      </w:r>
      <w:r w:rsidRPr="6B3DCA99">
        <w:rPr>
          <w:rFonts w:ascii="Times New Roman" w:hAnsi="Times New Roman" w:cs="Times New Roman"/>
          <w:color w:val="221F1F"/>
          <w:sz w:val="24"/>
          <w:szCs w:val="24"/>
        </w:rPr>
        <w:t xml:space="preserve"> based on modeling data </w:t>
      </w:r>
      <w:r w:rsidR="002C6DFA" w:rsidRPr="6B3DCA99">
        <w:rPr>
          <w:rFonts w:ascii="Times New Roman" w:hAnsi="Times New Roman" w:cs="Times New Roman"/>
          <w:color w:val="221F1F"/>
          <w:sz w:val="24"/>
          <w:szCs w:val="24"/>
        </w:rPr>
        <w:t xml:space="preserve">predicting </w:t>
      </w:r>
      <w:r w:rsidR="00B4103E" w:rsidRPr="6B3DCA99">
        <w:rPr>
          <w:rFonts w:ascii="Times New Roman" w:hAnsi="Times New Roman" w:cs="Times New Roman"/>
          <w:color w:val="221F1F"/>
          <w:sz w:val="24"/>
          <w:szCs w:val="24"/>
        </w:rPr>
        <w:t>distribution</w:t>
      </w:r>
      <w:r w:rsidR="002C6DFA" w:rsidRPr="6B3DCA99">
        <w:rPr>
          <w:rFonts w:ascii="Times New Roman" w:hAnsi="Times New Roman" w:cs="Times New Roman"/>
          <w:color w:val="221F1F"/>
          <w:sz w:val="24"/>
          <w:szCs w:val="24"/>
        </w:rPr>
        <w:t>s</w:t>
      </w:r>
      <w:r w:rsidR="00B4103E" w:rsidRPr="6B3DCA99">
        <w:rPr>
          <w:rFonts w:ascii="Times New Roman" w:hAnsi="Times New Roman" w:cs="Times New Roman"/>
          <w:color w:val="221F1F"/>
          <w:sz w:val="24"/>
          <w:szCs w:val="24"/>
        </w:rPr>
        <w:t xml:space="preserve"> of students between the categories.  </w:t>
      </w:r>
    </w:p>
    <w:p w14:paraId="14FC4A2B" w14:textId="77777777" w:rsidR="008A790F" w:rsidRDefault="008A790F" w:rsidP="00E26DA2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4A677F53" w14:textId="097A106D" w:rsidR="00BF2AA4" w:rsidRDefault="00DC3CC5" w:rsidP="00E26DA2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 xml:space="preserve">For students who </w:t>
      </w:r>
      <w:r w:rsidR="004652B7">
        <w:rPr>
          <w:rFonts w:ascii="Times New Roman" w:hAnsi="Times New Roman" w:cs="Times New Roman"/>
          <w:color w:val="221F1F"/>
          <w:sz w:val="24"/>
          <w:szCs w:val="24"/>
        </w:rPr>
        <w:t>become</w:t>
      </w:r>
      <w:r w:rsidR="00A202A8">
        <w:rPr>
          <w:rFonts w:ascii="Times New Roman" w:hAnsi="Times New Roman" w:cs="Times New Roman"/>
          <w:color w:val="221F1F"/>
          <w:sz w:val="24"/>
          <w:szCs w:val="24"/>
        </w:rPr>
        <w:t xml:space="preserve"> off cycle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during Phase 2, </w:t>
      </w:r>
      <w:r w:rsidR="001E7030">
        <w:rPr>
          <w:rFonts w:ascii="Times New Roman" w:hAnsi="Times New Roman" w:cs="Times New Roman"/>
          <w:color w:val="221F1F"/>
          <w:sz w:val="24"/>
          <w:szCs w:val="24"/>
        </w:rPr>
        <w:t xml:space="preserve">the same rank criteria </w:t>
      </w:r>
      <w:r w:rsidR="00732370">
        <w:rPr>
          <w:rFonts w:ascii="Times New Roman" w:hAnsi="Times New Roman" w:cs="Times New Roman"/>
          <w:color w:val="221F1F"/>
          <w:sz w:val="24"/>
          <w:szCs w:val="24"/>
        </w:rPr>
        <w:t>apply</w:t>
      </w:r>
      <w:r w:rsidR="00790E30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E26DA2">
        <w:rPr>
          <w:rFonts w:ascii="Times New Roman" w:hAnsi="Times New Roman" w:cs="Times New Roman"/>
          <w:color w:val="221F1F"/>
          <w:sz w:val="24"/>
          <w:szCs w:val="24"/>
        </w:rPr>
        <w:t>as the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student pop</w:t>
      </w:r>
      <w:r w:rsidR="00A202A8">
        <w:rPr>
          <w:rFonts w:ascii="Times New Roman" w:hAnsi="Times New Roman" w:cs="Times New Roman"/>
          <w:color w:val="221F1F"/>
          <w:sz w:val="24"/>
          <w:szCs w:val="24"/>
        </w:rPr>
        <w:t xml:space="preserve">ulation with which they take </w:t>
      </w:r>
      <w:proofErr w:type="gramStart"/>
      <w:r w:rsidR="00A202A8">
        <w:rPr>
          <w:rFonts w:ascii="Times New Roman" w:hAnsi="Times New Roman" w:cs="Times New Roman"/>
          <w:color w:val="221F1F"/>
          <w:sz w:val="24"/>
          <w:szCs w:val="24"/>
        </w:rPr>
        <w:t>the majority of</w:t>
      </w:r>
      <w:proofErr w:type="gramEnd"/>
      <w:r w:rsidR="00A202A8">
        <w:rPr>
          <w:rFonts w:ascii="Times New Roman" w:hAnsi="Times New Roman" w:cs="Times New Roman"/>
          <w:color w:val="221F1F"/>
          <w:sz w:val="24"/>
          <w:szCs w:val="24"/>
        </w:rPr>
        <w:t xml:space="preserve"> their Phase 2 coursework. </w:t>
      </w:r>
      <w:r w:rsidR="001C1975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3D551073" w14:textId="77777777" w:rsidR="008E62A1" w:rsidRDefault="008E62A1" w:rsidP="00E26DA2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4F62603C" w14:textId="0AEB0475" w:rsidR="008E62A1" w:rsidRPr="009E5723" w:rsidRDefault="008E62A1" w:rsidP="00E26DA2">
      <w:pPr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Students in the Competency Based Growth Pathway (CBGP) will be unranked.</w:t>
      </w:r>
    </w:p>
    <w:p w14:paraId="6C97C82B" w14:textId="77777777" w:rsidR="005F65A2" w:rsidRPr="009E5723" w:rsidRDefault="005F65A2">
      <w:pPr>
        <w:rPr>
          <w:rFonts w:ascii="Times New Roman" w:hAnsi="Times New Roman" w:cs="Times New Roman"/>
          <w:color w:val="221F1F"/>
          <w:sz w:val="24"/>
          <w:szCs w:val="24"/>
        </w:rPr>
      </w:pPr>
    </w:p>
    <w:p w14:paraId="5F90A2FD" w14:textId="77777777" w:rsidR="00FF1CEA" w:rsidRPr="009E5723" w:rsidRDefault="00FF1CEA">
      <w:pPr>
        <w:rPr>
          <w:rFonts w:ascii="Times New Roman" w:hAnsi="Times New Roman" w:cs="Times New Roman"/>
          <w:color w:val="221F1F"/>
          <w:sz w:val="24"/>
          <w:szCs w:val="24"/>
        </w:rPr>
      </w:pPr>
    </w:p>
    <w:sectPr w:rsidR="00FF1CEA" w:rsidRPr="009E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35B4"/>
    <w:multiLevelType w:val="hybridMultilevel"/>
    <w:tmpl w:val="0AFC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32"/>
    <w:rsid w:val="00012A99"/>
    <w:rsid w:val="00012C51"/>
    <w:rsid w:val="00017D99"/>
    <w:rsid w:val="000217C8"/>
    <w:rsid w:val="00023D36"/>
    <w:rsid w:val="00037986"/>
    <w:rsid w:val="000637C4"/>
    <w:rsid w:val="000735E3"/>
    <w:rsid w:val="00091E9D"/>
    <w:rsid w:val="00097A11"/>
    <w:rsid w:val="000A00E4"/>
    <w:rsid w:val="000B4155"/>
    <w:rsid w:val="000B46CF"/>
    <w:rsid w:val="000C1E59"/>
    <w:rsid w:val="000C2401"/>
    <w:rsid w:val="000C4D6C"/>
    <w:rsid w:val="000C57AC"/>
    <w:rsid w:val="000F4986"/>
    <w:rsid w:val="001036BC"/>
    <w:rsid w:val="00145497"/>
    <w:rsid w:val="001569C4"/>
    <w:rsid w:val="0016069E"/>
    <w:rsid w:val="00171A8F"/>
    <w:rsid w:val="0018660A"/>
    <w:rsid w:val="00191ADB"/>
    <w:rsid w:val="00191BF7"/>
    <w:rsid w:val="00192013"/>
    <w:rsid w:val="001961EA"/>
    <w:rsid w:val="001A50DB"/>
    <w:rsid w:val="001B433D"/>
    <w:rsid w:val="001B5BA1"/>
    <w:rsid w:val="001C1975"/>
    <w:rsid w:val="001C49E3"/>
    <w:rsid w:val="001E7030"/>
    <w:rsid w:val="001F263A"/>
    <w:rsid w:val="001F48DC"/>
    <w:rsid w:val="002049B1"/>
    <w:rsid w:val="00214C91"/>
    <w:rsid w:val="002247FF"/>
    <w:rsid w:val="00225404"/>
    <w:rsid w:val="00227651"/>
    <w:rsid w:val="0023218C"/>
    <w:rsid w:val="00237E88"/>
    <w:rsid w:val="00242D39"/>
    <w:rsid w:val="00246870"/>
    <w:rsid w:val="0027592A"/>
    <w:rsid w:val="00284292"/>
    <w:rsid w:val="00297DD6"/>
    <w:rsid w:val="002A20B9"/>
    <w:rsid w:val="002A387C"/>
    <w:rsid w:val="002B2BF8"/>
    <w:rsid w:val="002C3D80"/>
    <w:rsid w:val="002C6DFA"/>
    <w:rsid w:val="002E3341"/>
    <w:rsid w:val="002F1E87"/>
    <w:rsid w:val="002F62C7"/>
    <w:rsid w:val="00302C52"/>
    <w:rsid w:val="003279A1"/>
    <w:rsid w:val="00363467"/>
    <w:rsid w:val="0037116A"/>
    <w:rsid w:val="00386BC6"/>
    <w:rsid w:val="00390666"/>
    <w:rsid w:val="0039171D"/>
    <w:rsid w:val="00392B96"/>
    <w:rsid w:val="00394321"/>
    <w:rsid w:val="0039561C"/>
    <w:rsid w:val="003A0366"/>
    <w:rsid w:val="003A7E41"/>
    <w:rsid w:val="003B103D"/>
    <w:rsid w:val="003C4BD4"/>
    <w:rsid w:val="003C5EA5"/>
    <w:rsid w:val="003D20E4"/>
    <w:rsid w:val="003F13D9"/>
    <w:rsid w:val="00413836"/>
    <w:rsid w:val="004305BE"/>
    <w:rsid w:val="00440415"/>
    <w:rsid w:val="0045566F"/>
    <w:rsid w:val="004613EF"/>
    <w:rsid w:val="004651BB"/>
    <w:rsid w:val="004652B7"/>
    <w:rsid w:val="004D051F"/>
    <w:rsid w:val="004D05C2"/>
    <w:rsid w:val="004D3937"/>
    <w:rsid w:val="004E4AB7"/>
    <w:rsid w:val="00503DCB"/>
    <w:rsid w:val="005101A7"/>
    <w:rsid w:val="005134AB"/>
    <w:rsid w:val="00522FBD"/>
    <w:rsid w:val="005234FC"/>
    <w:rsid w:val="00525C23"/>
    <w:rsid w:val="005605AC"/>
    <w:rsid w:val="00561BC6"/>
    <w:rsid w:val="005632DC"/>
    <w:rsid w:val="005727BC"/>
    <w:rsid w:val="00574FBE"/>
    <w:rsid w:val="005750A2"/>
    <w:rsid w:val="00577153"/>
    <w:rsid w:val="005813CB"/>
    <w:rsid w:val="005A2BE9"/>
    <w:rsid w:val="005C192B"/>
    <w:rsid w:val="005E137F"/>
    <w:rsid w:val="005E2268"/>
    <w:rsid w:val="005E4D41"/>
    <w:rsid w:val="005F158E"/>
    <w:rsid w:val="005F3521"/>
    <w:rsid w:val="005F65A2"/>
    <w:rsid w:val="0060297F"/>
    <w:rsid w:val="00611B97"/>
    <w:rsid w:val="00641C5D"/>
    <w:rsid w:val="006504E4"/>
    <w:rsid w:val="00660EA3"/>
    <w:rsid w:val="00661BA2"/>
    <w:rsid w:val="00680A63"/>
    <w:rsid w:val="006844B1"/>
    <w:rsid w:val="00690397"/>
    <w:rsid w:val="006A437F"/>
    <w:rsid w:val="006B6712"/>
    <w:rsid w:val="006E3E7A"/>
    <w:rsid w:val="006F2B0C"/>
    <w:rsid w:val="00704E39"/>
    <w:rsid w:val="0071024C"/>
    <w:rsid w:val="007103C0"/>
    <w:rsid w:val="007110BE"/>
    <w:rsid w:val="00716BDB"/>
    <w:rsid w:val="00724D8E"/>
    <w:rsid w:val="00732370"/>
    <w:rsid w:val="007370BF"/>
    <w:rsid w:val="0074466E"/>
    <w:rsid w:val="007470F6"/>
    <w:rsid w:val="007902A5"/>
    <w:rsid w:val="007907DF"/>
    <w:rsid w:val="00790E30"/>
    <w:rsid w:val="00790FAC"/>
    <w:rsid w:val="00791279"/>
    <w:rsid w:val="00795D12"/>
    <w:rsid w:val="007A0A23"/>
    <w:rsid w:val="007A1893"/>
    <w:rsid w:val="007B2657"/>
    <w:rsid w:val="007B793F"/>
    <w:rsid w:val="007C74CF"/>
    <w:rsid w:val="007D441E"/>
    <w:rsid w:val="007E033E"/>
    <w:rsid w:val="007F12E5"/>
    <w:rsid w:val="007F2884"/>
    <w:rsid w:val="007F5FF1"/>
    <w:rsid w:val="00800B97"/>
    <w:rsid w:val="00810468"/>
    <w:rsid w:val="00821091"/>
    <w:rsid w:val="0082186E"/>
    <w:rsid w:val="008252A1"/>
    <w:rsid w:val="00835633"/>
    <w:rsid w:val="00855220"/>
    <w:rsid w:val="0088461D"/>
    <w:rsid w:val="00891A64"/>
    <w:rsid w:val="008A5743"/>
    <w:rsid w:val="008A790F"/>
    <w:rsid w:val="008B47FC"/>
    <w:rsid w:val="008B4CCA"/>
    <w:rsid w:val="008C47E2"/>
    <w:rsid w:val="008C51CD"/>
    <w:rsid w:val="008C76A4"/>
    <w:rsid w:val="008D16E4"/>
    <w:rsid w:val="008D7D01"/>
    <w:rsid w:val="008E62A1"/>
    <w:rsid w:val="008F07F4"/>
    <w:rsid w:val="008F513B"/>
    <w:rsid w:val="008F6C6B"/>
    <w:rsid w:val="00901DF1"/>
    <w:rsid w:val="00923EAD"/>
    <w:rsid w:val="0093042E"/>
    <w:rsid w:val="009324A5"/>
    <w:rsid w:val="00941A9D"/>
    <w:rsid w:val="00952B88"/>
    <w:rsid w:val="009548F9"/>
    <w:rsid w:val="00962AA0"/>
    <w:rsid w:val="00971733"/>
    <w:rsid w:val="009850B7"/>
    <w:rsid w:val="009A0C37"/>
    <w:rsid w:val="009A442B"/>
    <w:rsid w:val="009E01D4"/>
    <w:rsid w:val="009E0A2D"/>
    <w:rsid w:val="009E5723"/>
    <w:rsid w:val="009F2DB5"/>
    <w:rsid w:val="009F2FFF"/>
    <w:rsid w:val="00A202A8"/>
    <w:rsid w:val="00A21B95"/>
    <w:rsid w:val="00A25272"/>
    <w:rsid w:val="00A2548E"/>
    <w:rsid w:val="00A27B30"/>
    <w:rsid w:val="00A44AC7"/>
    <w:rsid w:val="00A633F0"/>
    <w:rsid w:val="00A6640E"/>
    <w:rsid w:val="00A83187"/>
    <w:rsid w:val="00A8458C"/>
    <w:rsid w:val="00A86613"/>
    <w:rsid w:val="00AB1B9A"/>
    <w:rsid w:val="00AB32E4"/>
    <w:rsid w:val="00AD4CEF"/>
    <w:rsid w:val="00AF2EC6"/>
    <w:rsid w:val="00AF644E"/>
    <w:rsid w:val="00B06203"/>
    <w:rsid w:val="00B1474E"/>
    <w:rsid w:val="00B4103E"/>
    <w:rsid w:val="00B448F2"/>
    <w:rsid w:val="00B52D79"/>
    <w:rsid w:val="00B54550"/>
    <w:rsid w:val="00B576A5"/>
    <w:rsid w:val="00B65726"/>
    <w:rsid w:val="00B71250"/>
    <w:rsid w:val="00B82E6B"/>
    <w:rsid w:val="00B87AEA"/>
    <w:rsid w:val="00BA062B"/>
    <w:rsid w:val="00BA5429"/>
    <w:rsid w:val="00BB7372"/>
    <w:rsid w:val="00BC2E5F"/>
    <w:rsid w:val="00BE68FD"/>
    <w:rsid w:val="00BF2AA4"/>
    <w:rsid w:val="00C0665E"/>
    <w:rsid w:val="00C07410"/>
    <w:rsid w:val="00C112D4"/>
    <w:rsid w:val="00C13E1D"/>
    <w:rsid w:val="00C17BC2"/>
    <w:rsid w:val="00C17F17"/>
    <w:rsid w:val="00C37A55"/>
    <w:rsid w:val="00C4003E"/>
    <w:rsid w:val="00C4036A"/>
    <w:rsid w:val="00C60C45"/>
    <w:rsid w:val="00C66FE7"/>
    <w:rsid w:val="00C70F00"/>
    <w:rsid w:val="00C7295F"/>
    <w:rsid w:val="00C743A9"/>
    <w:rsid w:val="00C76D63"/>
    <w:rsid w:val="00C9154B"/>
    <w:rsid w:val="00C97437"/>
    <w:rsid w:val="00CD12DE"/>
    <w:rsid w:val="00CD5A1A"/>
    <w:rsid w:val="00CF7DE0"/>
    <w:rsid w:val="00D06845"/>
    <w:rsid w:val="00D120B1"/>
    <w:rsid w:val="00D13B56"/>
    <w:rsid w:val="00D214E6"/>
    <w:rsid w:val="00D66D34"/>
    <w:rsid w:val="00D70A46"/>
    <w:rsid w:val="00D802C6"/>
    <w:rsid w:val="00D812C0"/>
    <w:rsid w:val="00D920EF"/>
    <w:rsid w:val="00DA4021"/>
    <w:rsid w:val="00DC2540"/>
    <w:rsid w:val="00DC3CC5"/>
    <w:rsid w:val="00DD6697"/>
    <w:rsid w:val="00DE0475"/>
    <w:rsid w:val="00DE1732"/>
    <w:rsid w:val="00DF2B02"/>
    <w:rsid w:val="00E02B88"/>
    <w:rsid w:val="00E114DA"/>
    <w:rsid w:val="00E14460"/>
    <w:rsid w:val="00E24B74"/>
    <w:rsid w:val="00E26DA2"/>
    <w:rsid w:val="00E43398"/>
    <w:rsid w:val="00E478C0"/>
    <w:rsid w:val="00E47DAC"/>
    <w:rsid w:val="00E5317A"/>
    <w:rsid w:val="00E573EA"/>
    <w:rsid w:val="00E60328"/>
    <w:rsid w:val="00E60AA4"/>
    <w:rsid w:val="00E612B3"/>
    <w:rsid w:val="00E633C2"/>
    <w:rsid w:val="00E648A6"/>
    <w:rsid w:val="00E80913"/>
    <w:rsid w:val="00E87278"/>
    <w:rsid w:val="00E91F06"/>
    <w:rsid w:val="00E9505E"/>
    <w:rsid w:val="00EC0B01"/>
    <w:rsid w:val="00ED196A"/>
    <w:rsid w:val="00EE4D0B"/>
    <w:rsid w:val="00EF540B"/>
    <w:rsid w:val="00EF5FD5"/>
    <w:rsid w:val="00EF76AB"/>
    <w:rsid w:val="00F07836"/>
    <w:rsid w:val="00F2125E"/>
    <w:rsid w:val="00F315C7"/>
    <w:rsid w:val="00F472E6"/>
    <w:rsid w:val="00F5066E"/>
    <w:rsid w:val="00F51B29"/>
    <w:rsid w:val="00F63639"/>
    <w:rsid w:val="00F72202"/>
    <w:rsid w:val="00F85ED0"/>
    <w:rsid w:val="00F96C67"/>
    <w:rsid w:val="00F9725E"/>
    <w:rsid w:val="00FA7EA2"/>
    <w:rsid w:val="00FB12C2"/>
    <w:rsid w:val="00FB57E9"/>
    <w:rsid w:val="00FC17B6"/>
    <w:rsid w:val="00FF1CEA"/>
    <w:rsid w:val="1A89EE87"/>
    <w:rsid w:val="6B3DC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C569"/>
  <w15:chartTrackingRefBased/>
  <w15:docId w15:val="{1BB82A2C-ACAD-4E38-8C08-472E849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566F"/>
    <w:pPr>
      <w:widowControl w:val="0"/>
      <w:autoSpaceDE w:val="0"/>
      <w:autoSpaceDN w:val="0"/>
      <w:adjustRightInd w:val="0"/>
      <w:spacing w:after="0" w:line="240" w:lineRule="auto"/>
    </w:pPr>
    <w:rPr>
      <w:rFonts w:ascii="Open Sans" w:eastAsiaTheme="minorEastAsia" w:hAnsi="Open Sans" w:cs="Open San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73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3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3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3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3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3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3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5566F"/>
    <w:pPr>
      <w:spacing w:line="245" w:lineRule="exact"/>
      <w:ind w:left="107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7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A11"/>
    <w:rPr>
      <w:rFonts w:ascii="Open Sans" w:eastAsiaTheme="minorEastAsia" w:hAnsi="Open Sans" w:cs="Open San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A11"/>
    <w:rPr>
      <w:rFonts w:ascii="Open Sans" w:eastAsiaTheme="minorEastAsia" w:hAnsi="Open Sans" w:cs="Open Sans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B7372"/>
    <w:pPr>
      <w:ind w:left="13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B7372"/>
    <w:rPr>
      <w:rFonts w:ascii="Open Sans" w:eastAsiaTheme="minorEastAsia" w:hAnsi="Open Sans" w:cs="Open Sans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21B95"/>
    <w:pPr>
      <w:spacing w:after="0" w:line="240" w:lineRule="auto"/>
    </w:pPr>
    <w:rPr>
      <w:rFonts w:ascii="Open Sans" w:eastAsiaTheme="minorEastAsia" w:hAnsi="Open Sans" w:cs="Open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>University of Cincinnati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Lowrie, DJ (lowriedj)</dc:creator>
  <cp:keywords/>
  <dc:description/>
  <cp:lastModifiedBy>Rhodenbaugh, Liz (rhodenla)</cp:lastModifiedBy>
  <cp:revision>2</cp:revision>
  <dcterms:created xsi:type="dcterms:W3CDTF">2026-02-09T15:58:00Z</dcterms:created>
  <dcterms:modified xsi:type="dcterms:W3CDTF">2026-02-09T15:58:00Z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2b6627db-797b-482c-940d-207d6b9b598f</vt:lpwstr>
  </property>
</Properties>
</file>